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E2B2" w14:textId="3D42ADCD" w:rsidR="00862EB1" w:rsidRDefault="008172D9">
      <w:pPr>
        <w:rPr>
          <w:b/>
          <w:bCs/>
        </w:rPr>
      </w:pPr>
      <w:r>
        <w:rPr>
          <w:b/>
          <w:bCs/>
        </w:rPr>
        <w:t xml:space="preserve">Баланс средств </w:t>
      </w:r>
      <w:proofErr w:type="gramStart"/>
      <w:r>
        <w:rPr>
          <w:b/>
          <w:bCs/>
        </w:rPr>
        <w:t xml:space="preserve">на </w:t>
      </w:r>
      <w:r w:rsidR="00074879" w:rsidRPr="008172D9">
        <w:rPr>
          <w:b/>
          <w:bCs/>
        </w:rPr>
        <w:t>денежных средств</w:t>
      </w:r>
      <w:proofErr w:type="gramEnd"/>
      <w:r w:rsidR="00074879" w:rsidRPr="008172D9">
        <w:rPr>
          <w:b/>
          <w:bCs/>
        </w:rPr>
        <w:t xml:space="preserve"> на счетах ЖСК «Дарьин» 2025 год.</w:t>
      </w:r>
    </w:p>
    <w:p w14:paraId="1D36435F" w14:textId="4E07B4CD" w:rsidR="00074879" w:rsidRPr="009270CD" w:rsidRDefault="007B3929">
      <w:pPr>
        <w:rPr>
          <w:b/>
          <w:bCs/>
        </w:rPr>
      </w:pPr>
      <w:r>
        <w:rPr>
          <w:b/>
          <w:bCs/>
        </w:rPr>
        <w:t>Таблица №2</w:t>
      </w: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2837"/>
        <w:gridCol w:w="1495"/>
        <w:gridCol w:w="1496"/>
        <w:gridCol w:w="1645"/>
        <w:gridCol w:w="1196"/>
        <w:gridCol w:w="1495"/>
        <w:gridCol w:w="1455"/>
        <w:gridCol w:w="1046"/>
        <w:gridCol w:w="1795"/>
      </w:tblGrid>
      <w:tr w:rsidR="008172D9" w:rsidRPr="008172D9" w14:paraId="0BD2B022" w14:textId="77777777" w:rsidTr="00933026">
        <w:trPr>
          <w:trHeight w:val="112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6808" w14:textId="77777777" w:rsidR="00074879" w:rsidRPr="008172D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Банковский счет</w:t>
            </w:r>
          </w:p>
          <w:p w14:paraId="1A47244A" w14:textId="6DDE2F7B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счета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0154DE" w14:textId="77777777" w:rsidR="00074879" w:rsidRPr="00074879" w:rsidRDefault="00074879" w:rsidP="000748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Баланс на 01.01.2025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2185B8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Поступило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1398C0" w14:textId="77777777" w:rsidR="00074879" w:rsidRPr="00074879" w:rsidRDefault="00074879" w:rsidP="000748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Оплачено по смете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D7AAFF" w14:textId="77777777" w:rsidR="00074879" w:rsidRPr="00074879" w:rsidRDefault="00074879" w:rsidP="000748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Оплата прочих расходов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C7DE7F" w14:textId="77777777" w:rsidR="00074879" w:rsidRPr="00074879" w:rsidRDefault="00074879" w:rsidP="000748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Оплата Коммунальные +Аренда земли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AF6343" w14:textId="77777777" w:rsidR="00074879" w:rsidRPr="00074879" w:rsidRDefault="00074879" w:rsidP="000748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Перевод между счетами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7FD2DC" w14:textId="2ED4E19D" w:rsidR="00074879" w:rsidRPr="00074879" w:rsidRDefault="00074879" w:rsidP="000748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Возврат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933BD" w14:textId="77777777" w:rsidR="00074879" w:rsidRPr="00074879" w:rsidRDefault="00074879" w:rsidP="000748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Баланс на 01.01.2026</w:t>
            </w:r>
          </w:p>
        </w:tc>
      </w:tr>
      <w:tr w:rsidR="008172D9" w:rsidRPr="008172D9" w14:paraId="2916B993" w14:textId="77777777" w:rsidTr="00933026">
        <w:trPr>
          <w:trHeight w:val="36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2C15" w14:textId="77777777" w:rsidR="00074879" w:rsidRPr="008172D9" w:rsidRDefault="00074879" w:rsidP="0007487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</w:rPr>
              <w:t>40703810800001434983</w:t>
            </w:r>
          </w:p>
          <w:p w14:paraId="2CBBACFE" w14:textId="3198F8B1" w:rsidR="00074879" w:rsidRPr="00074879" w:rsidRDefault="00074879" w:rsidP="0007487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72D9">
              <w:rPr>
                <w:rFonts w:ascii="Calibri" w:hAnsi="Calibri" w:cs="Calibri"/>
                <w:b/>
                <w:bCs/>
                <w:color w:val="000000"/>
              </w:rPr>
              <w:t>Текущий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A3FB" w14:textId="3D7FF789" w:rsidR="00074879" w:rsidRPr="00074879" w:rsidRDefault="008172D9" w:rsidP="00074879">
            <w:pPr>
              <w:ind w:left="-11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</w:t>
            </w:r>
            <w:r w:rsidR="00074879"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027,41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7E99" w14:textId="1A6A4593" w:rsidR="00074879" w:rsidRPr="00074879" w:rsidRDefault="008172D9" w:rsidP="00074879">
            <w:pPr>
              <w:ind w:left="-106" w:right="-109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22783852</w:t>
            </w:r>
            <w:r w:rsidR="00074879"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5FB7" w14:textId="0AA99765" w:rsidR="00074879" w:rsidRPr="00074879" w:rsidRDefault="008172D9" w:rsidP="00074879">
            <w:pPr>
              <w:ind w:left="-10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16 774 598,74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8C8CC" w14:textId="143D8C1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015D" w14:textId="1A1FA0DE" w:rsidR="00074879" w:rsidRPr="00074879" w:rsidRDefault="00074879" w:rsidP="00074879">
            <w:pPr>
              <w:ind w:left="-106" w:right="-10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4 002 221,67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4306" w14:textId="7F87B7B0" w:rsidR="00074879" w:rsidRPr="00074879" w:rsidRDefault="00074879" w:rsidP="00933026">
            <w:pPr>
              <w:ind w:left="214" w:hanging="214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724</w:t>
            </w:r>
            <w:r w:rsidR="00706B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796,00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08C9" w14:textId="03A2E769" w:rsidR="00074879" w:rsidRPr="00074879" w:rsidRDefault="00074879" w:rsidP="00074879">
            <w:pPr>
              <w:ind w:left="-41" w:right="-23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749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78,54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6AC50F" w14:textId="5289A093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1 405 285,26 </w:t>
            </w:r>
          </w:p>
        </w:tc>
      </w:tr>
      <w:tr w:rsidR="008172D9" w:rsidRPr="008172D9" w14:paraId="17C41AC6" w14:textId="77777777" w:rsidTr="00933026">
        <w:trPr>
          <w:trHeight w:val="36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D117" w14:textId="77777777" w:rsidR="00074879" w:rsidRPr="008172D9" w:rsidRDefault="00074879" w:rsidP="0007487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</w:rPr>
              <w:t>40703810400000002936</w:t>
            </w:r>
          </w:p>
          <w:p w14:paraId="67DA102C" w14:textId="015766A7" w:rsidR="00074879" w:rsidRPr="00074879" w:rsidRDefault="00074879" w:rsidP="0007487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72D9">
              <w:rPr>
                <w:rFonts w:ascii="Calibri" w:hAnsi="Calibri" w:cs="Calibri"/>
                <w:b/>
                <w:bCs/>
                <w:color w:val="000000"/>
              </w:rPr>
              <w:t>Резервный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4869" w14:textId="6F1C345A" w:rsidR="00074879" w:rsidRPr="00074879" w:rsidRDefault="008172D9" w:rsidP="00074879">
            <w:pPr>
              <w:ind w:left="-11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074879"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552</w:t>
            </w:r>
            <w:r w:rsidR="00074879"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809,79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BA62" w14:textId="4AD21388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6B66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 </w:t>
            </w:r>
            <w:r w:rsidR="008172D9" w:rsidRPr="00706B66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 </w:t>
            </w:r>
            <w:r w:rsidRPr="00706B66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105 796,00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446D" w14:textId="7777777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E8FC" w14:textId="0C8947FC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1 030 000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C7CB" w14:textId="7777777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6BB8" w14:textId="149ED958" w:rsidR="00074879" w:rsidRPr="00074879" w:rsidRDefault="00074879" w:rsidP="00933026">
            <w:pPr>
              <w:ind w:left="214" w:hanging="214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590</w:t>
            </w:r>
            <w:r w:rsidR="00706B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417,07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5BCB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6E4E70" w14:textId="08D1508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38 188,72 </w:t>
            </w:r>
          </w:p>
        </w:tc>
      </w:tr>
      <w:tr w:rsidR="008172D9" w:rsidRPr="008172D9" w14:paraId="1A209DBA" w14:textId="77777777" w:rsidTr="00933026">
        <w:trPr>
          <w:trHeight w:val="36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E488" w14:textId="77777777" w:rsidR="00074879" w:rsidRPr="008172D9" w:rsidRDefault="00074879" w:rsidP="0007487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</w:rPr>
              <w:t>40703810300000004199</w:t>
            </w:r>
          </w:p>
          <w:p w14:paraId="5943C99D" w14:textId="32183A71" w:rsidR="00074879" w:rsidRPr="00074879" w:rsidRDefault="00074879" w:rsidP="0007487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172D9">
              <w:rPr>
                <w:rFonts w:ascii="Calibri" w:hAnsi="Calibri" w:cs="Calibri"/>
                <w:b/>
                <w:bCs/>
                <w:color w:val="000000"/>
              </w:rPr>
              <w:t>Целевой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BAE6" w14:textId="71482213" w:rsidR="00074879" w:rsidRPr="00074879" w:rsidRDefault="008172D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4879"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741 111,85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FD8B" w14:textId="6A300D8E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06B66">
              <w:rPr>
                <w:rFonts w:ascii="Calibri" w:hAnsi="Calibri" w:cs="Calibri"/>
                <w:b/>
                <w:bCs/>
                <w:color w:val="538135" w:themeColor="accent6" w:themeShade="BF"/>
                <w:sz w:val="22"/>
                <w:szCs w:val="22"/>
              </w:rPr>
              <w:t xml:space="preserve">619 000,00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9E3B" w14:textId="7777777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0405" w14:textId="5D2B5B49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</w:t>
            </w:r>
            <w:r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85 000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EB57" w14:textId="7777777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32EE" w14:textId="5E7EA0A3" w:rsidR="00074879" w:rsidRPr="00074879" w:rsidRDefault="00074879" w:rsidP="00933026">
            <w:pPr>
              <w:ind w:left="214" w:right="-33" w:hanging="3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</w:t>
            </w:r>
            <w:r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40 000,00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DBDB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BE4317" w14:textId="47487AB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1 235 111,85 </w:t>
            </w:r>
          </w:p>
        </w:tc>
      </w:tr>
      <w:tr w:rsidR="008172D9" w:rsidRPr="008172D9" w14:paraId="11B18F6B" w14:textId="77777777" w:rsidTr="00933026">
        <w:trPr>
          <w:trHeight w:val="36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B046" w14:textId="2E82D61E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ВСЕГО</w:t>
            </w:r>
            <w:r w:rsidR="000E4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06B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 СЧЕТАХ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C29CC6" w14:textId="282EE9C3" w:rsidR="00074879" w:rsidRPr="00074879" w:rsidRDefault="00933026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2 491 949,05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053E94" w14:textId="02197CA2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2 350 8648,8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3EAE1F" w14:textId="7777777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AACCDA" w14:textId="7777777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1AF1F" w14:textId="77777777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280FA1" w14:textId="2996A3CE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9330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1 355 213,07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EC6563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FA4EE6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E4C81" w:rsidRPr="008172D9" w14:paraId="4592EC75" w14:textId="77777777" w:rsidTr="00933026">
        <w:trPr>
          <w:trHeight w:val="36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AAA7" w14:textId="77777777" w:rsidR="00B63F83" w:rsidRDefault="00B63F83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 ТОМ ЧИСЛЕ </w:t>
            </w:r>
          </w:p>
          <w:p w14:paraId="27D352D4" w14:textId="32B4ECF8" w:rsidR="000E4C81" w:rsidRDefault="000E4C8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ЦЕЛЕВОЙ ВЗНОС </w:t>
            </w:r>
          </w:p>
          <w:p w14:paraId="318C4D27" w14:textId="6B0B33E9" w:rsidR="000E4C81" w:rsidRPr="00074879" w:rsidRDefault="000E4C8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 ГОДА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7895A6" w14:textId="171A6FA5" w:rsidR="000E4C81" w:rsidRPr="000E4C81" w:rsidRDefault="000E4C8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120242" w14:textId="77777777" w:rsidR="000E4C81" w:rsidRPr="00074879" w:rsidRDefault="000E4C8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ED68AF" w14:textId="77777777" w:rsidR="000E4C81" w:rsidRPr="00074879" w:rsidRDefault="000E4C8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D5B8B9" w14:textId="77777777" w:rsidR="000E4C81" w:rsidRPr="00074879" w:rsidRDefault="000E4C8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1C5F0E" w14:textId="77777777" w:rsidR="000E4C81" w:rsidRPr="00074879" w:rsidRDefault="000E4C8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7791B9" w14:textId="77777777" w:rsidR="000E4C81" w:rsidRPr="00074879" w:rsidRDefault="000E4C8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1E46C9" w14:textId="77777777" w:rsidR="000E4C81" w:rsidRPr="00074879" w:rsidRDefault="000E4C8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8E9265" w14:textId="77777777" w:rsidR="000E4C81" w:rsidRPr="00074879" w:rsidRDefault="000E4C8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3F83" w:rsidRPr="008172D9" w14:paraId="3C536CF9" w14:textId="77777777" w:rsidTr="00933026">
        <w:trPr>
          <w:trHeight w:val="36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4961" w14:textId="48B93E3F" w:rsidR="00B63F83" w:rsidRDefault="00B63F83" w:rsidP="00FE53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 ТОМ ЧИСЛЕ ПО СМЕТЕ +</w:t>
            </w:r>
          </w:p>
          <w:p w14:paraId="0A196630" w14:textId="3B305853" w:rsidR="00B63F83" w:rsidRDefault="00B63F83" w:rsidP="00FE53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КОММУНАЛКА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72013A" w14:textId="57E737C1" w:rsidR="00B63F83" w:rsidRDefault="00B63F83" w:rsidP="00FE5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A5D3FB" w14:textId="77777777" w:rsidR="00B63F83" w:rsidRPr="00074879" w:rsidRDefault="00B63F83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C209B9" w14:textId="5C52D495" w:rsidR="00B63F83" w:rsidRPr="00074879" w:rsidRDefault="00706B66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16 774 598,74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FBA0E6" w14:textId="77777777" w:rsidR="00B63F83" w:rsidRPr="00074879" w:rsidRDefault="00B63F83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587538" w14:textId="77777777" w:rsidR="00B63F83" w:rsidRPr="00074879" w:rsidRDefault="00B63F83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959AC5" w14:textId="77777777" w:rsidR="00B63F83" w:rsidRPr="00074879" w:rsidRDefault="00B63F83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5F3E99" w14:textId="77777777" w:rsidR="00B63F83" w:rsidRPr="00074879" w:rsidRDefault="00B63F83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F154E9" w14:textId="77777777" w:rsidR="00B63F83" w:rsidRPr="00074879" w:rsidRDefault="00B63F83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3F1" w:rsidRPr="008172D9" w14:paraId="7CBED3A1" w14:textId="77777777" w:rsidTr="009270CD">
        <w:trPr>
          <w:trHeight w:val="59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9315" w14:textId="2EB051BA" w:rsidR="00FE53F1" w:rsidRDefault="00FE53F1" w:rsidP="00FE53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 2023-2024 ГОДЫ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0EFBFD" w14:textId="6D66E3DF" w:rsidR="00FE53F1" w:rsidRPr="00FE53F1" w:rsidRDefault="00FE53F1" w:rsidP="00FE53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FE53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716 886,59   </w:t>
            </w:r>
          </w:p>
          <w:p w14:paraId="2E768437" w14:textId="77777777" w:rsidR="00FE53F1" w:rsidRDefault="00FE53F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BB07ED" w14:textId="77777777" w:rsidR="00FE53F1" w:rsidRPr="00074879" w:rsidRDefault="00FE53F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2BCFB1" w14:textId="77777777" w:rsidR="00FE53F1" w:rsidRPr="00074879" w:rsidRDefault="00FE53F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B5C71" w14:textId="77777777" w:rsidR="00FE53F1" w:rsidRPr="00074879" w:rsidRDefault="00FE53F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A63C28" w14:textId="77777777" w:rsidR="00FE53F1" w:rsidRPr="00074879" w:rsidRDefault="00FE53F1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5EB3F5" w14:textId="77777777" w:rsidR="00FE53F1" w:rsidRPr="00074879" w:rsidRDefault="00FE53F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2A8749" w14:textId="77777777" w:rsidR="00FE53F1" w:rsidRPr="00074879" w:rsidRDefault="00FE53F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94C7BA" w14:textId="77777777" w:rsidR="00FE53F1" w:rsidRPr="00074879" w:rsidRDefault="00FE53F1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72D9" w:rsidRPr="008172D9" w14:paraId="349870DD" w14:textId="77777777" w:rsidTr="00933026">
        <w:trPr>
          <w:trHeight w:val="368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7C8BF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CDE9DD" w14:textId="3A35F405" w:rsidR="00074879" w:rsidRPr="008172D9" w:rsidRDefault="008172D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</w:t>
            </w:r>
            <w:r w:rsidR="00074879"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аланс средств на банковских </w:t>
            </w:r>
          </w:p>
          <w:p w14:paraId="0E4727B1" w14:textId="0016EDC1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счетах</w:t>
            </w:r>
            <w:r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на </w:t>
            </w: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</w:t>
            </w:r>
            <w:r w:rsidRPr="008172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CA6513" w14:textId="0AABA9C2" w:rsidR="00074879" w:rsidRPr="00074879" w:rsidRDefault="00074879" w:rsidP="00074879">
            <w:pPr>
              <w:ind w:left="-106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947773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B73FAE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12EC4D" w14:textId="77777777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003A3" w14:textId="43736723" w:rsidR="00074879" w:rsidRPr="00074879" w:rsidRDefault="00074879" w:rsidP="000748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4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2 678 585,83 </w:t>
            </w:r>
          </w:p>
        </w:tc>
      </w:tr>
    </w:tbl>
    <w:p w14:paraId="71FCAD42" w14:textId="77777777" w:rsidR="00074879" w:rsidRDefault="00074879">
      <w:pPr>
        <w:rPr>
          <w:b/>
          <w:bCs/>
        </w:rPr>
      </w:pPr>
    </w:p>
    <w:p w14:paraId="523177F8" w14:textId="476FC43D" w:rsidR="00D61208" w:rsidRPr="00074879" w:rsidRDefault="00D61208" w:rsidP="00D61208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61208">
        <w:rPr>
          <w:rFonts w:ascii="Calibri" w:hAnsi="Calibri" w:cs="Calibri"/>
          <w:color w:val="000000"/>
        </w:rPr>
        <w:t xml:space="preserve">На начало периода на </w:t>
      </w:r>
      <w:r w:rsidRPr="00D61208">
        <w:rPr>
          <w:rFonts w:ascii="Calibri" w:hAnsi="Calibri" w:cs="Calibri"/>
          <w:b/>
          <w:bCs/>
          <w:color w:val="000000"/>
        </w:rPr>
        <w:t>Р</w:t>
      </w:r>
      <w:r w:rsidRPr="00D61208">
        <w:rPr>
          <w:rFonts w:ascii="Calibri" w:hAnsi="Calibri" w:cs="Calibri"/>
          <w:b/>
          <w:bCs/>
          <w:color w:val="000000"/>
        </w:rPr>
        <w:t>езервн</w:t>
      </w:r>
      <w:r w:rsidRPr="00D61208">
        <w:rPr>
          <w:rFonts w:ascii="Calibri" w:hAnsi="Calibri" w:cs="Calibri"/>
          <w:b/>
          <w:bCs/>
          <w:color w:val="000000"/>
        </w:rPr>
        <w:t>ом счету</w:t>
      </w:r>
      <w:r w:rsidRPr="00D61208">
        <w:rPr>
          <w:rFonts w:ascii="Calibri" w:hAnsi="Calibri" w:cs="Calibri"/>
          <w:color w:val="000000"/>
        </w:rPr>
        <w:t xml:space="preserve"> аккумулированы денежные средства, целевого взноса на покупку трактора</w:t>
      </w:r>
      <w:r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 w:rsidRPr="00074879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8172D9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074879">
        <w:rPr>
          <w:rFonts w:ascii="Calibri" w:hAnsi="Calibri" w:cs="Calibri"/>
          <w:b/>
          <w:bCs/>
          <w:color w:val="000000"/>
          <w:sz w:val="22"/>
          <w:szCs w:val="22"/>
        </w:rPr>
        <w:t>552</w:t>
      </w:r>
      <w:r w:rsidRPr="008172D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74879">
        <w:rPr>
          <w:rFonts w:ascii="Calibri" w:hAnsi="Calibri" w:cs="Calibri"/>
          <w:b/>
          <w:bCs/>
          <w:color w:val="000000"/>
          <w:sz w:val="22"/>
          <w:szCs w:val="22"/>
        </w:rPr>
        <w:t>809,79</w:t>
      </w:r>
      <w:r w:rsidRPr="00D61208">
        <w:rPr>
          <w:rFonts w:ascii="Calibri" w:hAnsi="Calibri" w:cs="Calibri"/>
          <w:color w:val="000000"/>
        </w:rPr>
        <w:t>. Трактор не приобретен в установленный собранием срок и денежные средства, до покупки трактора в 2025 году, хранились на резервном счету</w:t>
      </w:r>
      <w:r>
        <w:rPr>
          <w:rFonts w:ascii="Calibri" w:hAnsi="Calibri" w:cs="Calibri"/>
          <w:color w:val="000000"/>
        </w:rPr>
        <w:t xml:space="preserve"> согласно решению общего собрания членов ЖСК от 24.10.2024 г. Протокол № 75. </w:t>
      </w:r>
      <w:r w:rsidR="005B1483">
        <w:rPr>
          <w:rFonts w:ascii="Calibri" w:hAnsi="Calibri" w:cs="Calibri"/>
          <w:color w:val="000000"/>
        </w:rPr>
        <w:t xml:space="preserve">За отчетный период задолженность по резервному счету оплачена на сумму </w:t>
      </w:r>
      <w:r w:rsidR="005B1483" w:rsidRPr="00706B66">
        <w:rPr>
          <w:rFonts w:ascii="Calibri" w:hAnsi="Calibri" w:cs="Calibri"/>
          <w:b/>
          <w:bCs/>
          <w:color w:val="EE0000"/>
          <w:sz w:val="22"/>
          <w:szCs w:val="22"/>
        </w:rPr>
        <w:t xml:space="preserve">105 796,00 </w:t>
      </w:r>
      <w:r w:rsidR="005B1483">
        <w:rPr>
          <w:rFonts w:ascii="Calibri" w:hAnsi="Calibri" w:cs="Calibri"/>
          <w:b/>
          <w:bCs/>
          <w:color w:val="EE0000"/>
          <w:sz w:val="22"/>
          <w:szCs w:val="22"/>
        </w:rPr>
        <w:t xml:space="preserve"> рублей. </w:t>
      </w:r>
      <w:r>
        <w:rPr>
          <w:rFonts w:ascii="Calibri" w:hAnsi="Calibri" w:cs="Calibri"/>
          <w:color w:val="000000"/>
        </w:rPr>
        <w:t>Средства использовались</w:t>
      </w:r>
      <w:r w:rsidRPr="00D61208">
        <w:rPr>
          <w:rFonts w:ascii="Calibri" w:hAnsi="Calibri" w:cs="Calibri"/>
          <w:color w:val="000000"/>
        </w:rPr>
        <w:t xml:space="preserve"> для оплаты аварийных ремонтов и замены гидроаккумуляторов водоочистки</w:t>
      </w:r>
      <w:r>
        <w:rPr>
          <w:rFonts w:ascii="Calibri" w:hAnsi="Calibri" w:cs="Calibri"/>
          <w:color w:val="000000"/>
        </w:rPr>
        <w:t xml:space="preserve"> -</w:t>
      </w:r>
      <w:r w:rsidRPr="00074879">
        <w:rPr>
          <w:rFonts w:ascii="Calibri" w:hAnsi="Calibri" w:cs="Calibri"/>
          <w:b/>
          <w:bCs/>
          <w:color w:val="000000"/>
          <w:sz w:val="22"/>
          <w:szCs w:val="22"/>
        </w:rPr>
        <w:t xml:space="preserve"> 590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74879">
        <w:rPr>
          <w:rFonts w:ascii="Calibri" w:hAnsi="Calibri" w:cs="Calibri"/>
          <w:b/>
          <w:bCs/>
          <w:color w:val="000000"/>
          <w:sz w:val="22"/>
          <w:szCs w:val="22"/>
        </w:rPr>
        <w:t xml:space="preserve">417,07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рублей.</w:t>
      </w:r>
    </w:p>
    <w:p w14:paraId="5BF0A11C" w14:textId="77777777" w:rsidR="009270CD" w:rsidRDefault="00D61208" w:rsidP="00D61208">
      <w:pPr>
        <w:rPr>
          <w:rFonts w:ascii="Calibri" w:hAnsi="Calibri" w:cs="Calibri"/>
          <w:color w:val="000000"/>
          <w:sz w:val="22"/>
          <w:szCs w:val="22"/>
        </w:rPr>
      </w:pPr>
      <w:r w:rsidRPr="00D61208">
        <w:rPr>
          <w:rFonts w:ascii="Calibri" w:hAnsi="Calibri" w:cs="Calibri"/>
          <w:color w:val="000000"/>
        </w:rPr>
        <w:t xml:space="preserve">После оплаты стоимости трактора, остаток денежных средств на резервном счету составил </w:t>
      </w:r>
      <w:r w:rsidRPr="00D61208">
        <w:rPr>
          <w:rFonts w:ascii="Calibri" w:hAnsi="Calibri" w:cs="Calibri"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D61208">
        <w:rPr>
          <w:rFonts w:ascii="Calibri" w:hAnsi="Calibri" w:cs="Calibri"/>
          <w:color w:val="000000"/>
          <w:sz w:val="22"/>
          <w:szCs w:val="22"/>
        </w:rPr>
        <w:t>38 188,72</w:t>
      </w:r>
      <w:r w:rsidRPr="00D61208">
        <w:rPr>
          <w:rFonts w:ascii="Calibri" w:hAnsi="Calibri" w:cs="Calibri"/>
          <w:color w:val="000000"/>
          <w:sz w:val="22"/>
          <w:szCs w:val="22"/>
        </w:rPr>
        <w:t xml:space="preserve"> рублей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1BDCB47" w14:textId="62A480DE" w:rsidR="00D61208" w:rsidRPr="009270CD" w:rsidRDefault="00D61208" w:rsidP="00D61208">
      <w:pPr>
        <w:rPr>
          <w:rFonts w:ascii="Calibri" w:hAnsi="Calibri" w:cs="Calibri"/>
          <w:sz w:val="22"/>
          <w:szCs w:val="22"/>
        </w:rPr>
      </w:pPr>
      <w:r w:rsidRPr="009270CD">
        <w:rPr>
          <w:rFonts w:ascii="Calibri" w:hAnsi="Calibri" w:cs="Calibri"/>
          <w:color w:val="000000"/>
          <w:sz w:val="22"/>
          <w:szCs w:val="22"/>
        </w:rPr>
        <w:t>Остаток средств на расчетном счету для целевых взносов</w:t>
      </w:r>
      <w:r w:rsidR="005B1483" w:rsidRPr="009270CD">
        <w:rPr>
          <w:rFonts w:ascii="Calibri" w:hAnsi="Calibri" w:cs="Calibri"/>
          <w:color w:val="000000"/>
          <w:sz w:val="22"/>
          <w:szCs w:val="22"/>
        </w:rPr>
        <w:t xml:space="preserve">, установленных общим собранием членов ЖСК </w:t>
      </w:r>
      <w:r w:rsidR="005B1483" w:rsidRPr="009270CD">
        <w:rPr>
          <w:rFonts w:ascii="Calibri" w:hAnsi="Calibri" w:cs="Calibri"/>
          <w:color w:val="000000"/>
        </w:rPr>
        <w:t>от 24.10.2024 г.</w:t>
      </w:r>
      <w:r w:rsidR="005B1483" w:rsidRPr="009270CD">
        <w:rPr>
          <w:rFonts w:ascii="Calibri" w:hAnsi="Calibri" w:cs="Calibri"/>
          <w:color w:val="000000"/>
        </w:rPr>
        <w:t xml:space="preserve">, </w:t>
      </w:r>
      <w:r w:rsidR="005B1483" w:rsidRPr="009270CD">
        <w:rPr>
          <w:rFonts w:ascii="Calibri" w:hAnsi="Calibri" w:cs="Calibri"/>
          <w:color w:val="000000"/>
        </w:rPr>
        <w:t>Протокол № 75</w:t>
      </w:r>
      <w:r w:rsidR="005B1483" w:rsidRPr="009270CD">
        <w:rPr>
          <w:rFonts w:ascii="Calibri" w:hAnsi="Calibri" w:cs="Calibri"/>
          <w:color w:val="000000"/>
        </w:rPr>
        <w:t xml:space="preserve">, </w:t>
      </w:r>
      <w:r w:rsidRPr="009270CD">
        <w:rPr>
          <w:rFonts w:ascii="Calibri" w:hAnsi="Calibri" w:cs="Calibri"/>
          <w:color w:val="000000"/>
          <w:sz w:val="22"/>
          <w:szCs w:val="22"/>
        </w:rPr>
        <w:t xml:space="preserve">на начало </w:t>
      </w:r>
      <w:r w:rsidRPr="009270CD">
        <w:rPr>
          <w:rFonts w:ascii="Calibri" w:hAnsi="Calibri" w:cs="Calibri"/>
          <w:sz w:val="22"/>
          <w:szCs w:val="22"/>
        </w:rPr>
        <w:t xml:space="preserve">периода составил </w:t>
      </w:r>
      <w:r w:rsidRPr="009270CD">
        <w:rPr>
          <w:rFonts w:ascii="Calibri" w:hAnsi="Calibri" w:cs="Calibri"/>
          <w:sz w:val="22"/>
          <w:szCs w:val="22"/>
        </w:rPr>
        <w:t>741 111,85</w:t>
      </w:r>
      <w:r w:rsidRPr="009270CD">
        <w:rPr>
          <w:rFonts w:ascii="Calibri" w:hAnsi="Calibri" w:cs="Calibri"/>
          <w:sz w:val="22"/>
          <w:szCs w:val="22"/>
        </w:rPr>
        <w:t xml:space="preserve"> рублей</w:t>
      </w:r>
      <w:r w:rsidR="005B1483" w:rsidRPr="009270CD">
        <w:rPr>
          <w:rFonts w:ascii="Calibri" w:hAnsi="Calibri" w:cs="Calibri"/>
          <w:sz w:val="22"/>
          <w:szCs w:val="22"/>
        </w:rPr>
        <w:t xml:space="preserve">. За 2025 год счет пополнился взносами на сумму </w:t>
      </w:r>
      <w:r w:rsidR="005B1483" w:rsidRPr="009270CD">
        <w:rPr>
          <w:rFonts w:ascii="Calibri" w:hAnsi="Calibri" w:cs="Calibri"/>
          <w:sz w:val="22"/>
          <w:szCs w:val="22"/>
        </w:rPr>
        <w:t>619 000,00</w:t>
      </w:r>
      <w:r w:rsidR="005B1483" w:rsidRPr="009270CD">
        <w:rPr>
          <w:rFonts w:ascii="Calibri" w:hAnsi="Calibri" w:cs="Calibri"/>
          <w:sz w:val="22"/>
          <w:szCs w:val="22"/>
        </w:rPr>
        <w:t xml:space="preserve"> рублей. Из средств целевого фонда оплачено 40 000 рублей кадастровому инженерную </w:t>
      </w:r>
      <w:r w:rsidR="005B1483" w:rsidRPr="009270CD">
        <w:rPr>
          <w:rFonts w:ascii="Calibri" w:hAnsi="Calibri" w:cs="Calibri"/>
          <w:sz w:val="22"/>
          <w:szCs w:val="22"/>
        </w:rPr>
        <w:t xml:space="preserve">на оплату </w:t>
      </w:r>
      <w:r w:rsidR="005B1483" w:rsidRPr="009270CD">
        <w:rPr>
          <w:rFonts w:ascii="Calibri" w:hAnsi="Calibri" w:cs="Calibri"/>
          <w:sz w:val="22"/>
          <w:szCs w:val="22"/>
        </w:rPr>
        <w:t xml:space="preserve">геодезических замеров земельного участка общего </w:t>
      </w:r>
      <w:r w:rsidR="008C05CB" w:rsidRPr="009270CD">
        <w:rPr>
          <w:rFonts w:ascii="Calibri" w:hAnsi="Calibri" w:cs="Calibri"/>
          <w:sz w:val="22"/>
          <w:szCs w:val="22"/>
        </w:rPr>
        <w:t>пользования оплачено</w:t>
      </w:r>
      <w:r w:rsidR="005B1483" w:rsidRPr="009270CD">
        <w:rPr>
          <w:rFonts w:ascii="Calibri" w:hAnsi="Calibri" w:cs="Calibri"/>
          <w:sz w:val="22"/>
          <w:szCs w:val="22"/>
        </w:rPr>
        <w:t xml:space="preserve"> 40 000 рублей и на 85000 судебных расходов</w:t>
      </w:r>
      <w:r w:rsidR="000C6E76" w:rsidRPr="009270CD">
        <w:rPr>
          <w:rFonts w:ascii="Calibri" w:hAnsi="Calibri" w:cs="Calibri"/>
          <w:sz w:val="22"/>
          <w:szCs w:val="22"/>
        </w:rPr>
        <w:t>. Остаток средств на целевом счету на конец периода составила -</w:t>
      </w:r>
      <w:r w:rsidR="000C6E76" w:rsidRPr="009270CD">
        <w:rPr>
          <w:rFonts w:ascii="Calibri" w:hAnsi="Calibri" w:cs="Calibri"/>
          <w:sz w:val="22"/>
          <w:szCs w:val="22"/>
        </w:rPr>
        <w:t>1 235 111,85</w:t>
      </w:r>
      <w:r w:rsidR="000C6E76" w:rsidRPr="009270CD">
        <w:rPr>
          <w:rFonts w:ascii="Calibri" w:hAnsi="Calibri" w:cs="Calibri"/>
          <w:sz w:val="22"/>
          <w:szCs w:val="22"/>
        </w:rPr>
        <w:t xml:space="preserve"> рублей.</w:t>
      </w:r>
    </w:p>
    <w:p w14:paraId="5CFB65A4" w14:textId="77777777" w:rsidR="008C05CB" w:rsidRPr="009270CD" w:rsidRDefault="008C05CB" w:rsidP="00D61208">
      <w:pPr>
        <w:rPr>
          <w:rFonts w:ascii="Calibri" w:hAnsi="Calibri" w:cs="Calibri"/>
          <w:sz w:val="22"/>
          <w:szCs w:val="22"/>
        </w:rPr>
      </w:pPr>
    </w:p>
    <w:p w14:paraId="7C3B5C03" w14:textId="47BCF31F" w:rsidR="008C05CB" w:rsidRPr="009270CD" w:rsidRDefault="008C05CB" w:rsidP="00D61208">
      <w:pPr>
        <w:rPr>
          <w:rFonts w:ascii="Calibri" w:hAnsi="Calibri" w:cs="Calibri"/>
          <w:b/>
          <w:bCs/>
          <w:sz w:val="22"/>
          <w:szCs w:val="22"/>
        </w:rPr>
      </w:pPr>
    </w:p>
    <w:p w14:paraId="620C998C" w14:textId="77777777" w:rsidR="00D61208" w:rsidRPr="00D61208" w:rsidRDefault="00D61208" w:rsidP="00D61208"/>
    <w:p w14:paraId="547D542E" w14:textId="77777777" w:rsidR="00D61208" w:rsidRPr="00D61208" w:rsidRDefault="00D61208"/>
    <w:sectPr w:rsidR="00D61208" w:rsidRPr="00D61208" w:rsidSect="009270CD">
      <w:pgSz w:w="16838" w:h="11906" w:orient="landscape"/>
      <w:pgMar w:top="851" w:right="1134" w:bottom="6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79"/>
    <w:rsid w:val="00074879"/>
    <w:rsid w:val="000C6E76"/>
    <w:rsid w:val="000E4C81"/>
    <w:rsid w:val="002A5E68"/>
    <w:rsid w:val="00424A8B"/>
    <w:rsid w:val="004A31BA"/>
    <w:rsid w:val="00500768"/>
    <w:rsid w:val="005B1483"/>
    <w:rsid w:val="00706B66"/>
    <w:rsid w:val="007B3929"/>
    <w:rsid w:val="007C10D5"/>
    <w:rsid w:val="008172D9"/>
    <w:rsid w:val="008416BB"/>
    <w:rsid w:val="00862EB1"/>
    <w:rsid w:val="008C05CB"/>
    <w:rsid w:val="009270CD"/>
    <w:rsid w:val="00933026"/>
    <w:rsid w:val="00A443A9"/>
    <w:rsid w:val="00B63F83"/>
    <w:rsid w:val="00D61208"/>
    <w:rsid w:val="00FE44E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F797D"/>
  <w15:chartTrackingRefBased/>
  <w15:docId w15:val="{65FA73BC-94C2-C04B-AF4A-A9E8DFAD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F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8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8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8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8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8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8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8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8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8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8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8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8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8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8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87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48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87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48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48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4879"/>
    <w:rPr>
      <w:b/>
      <w:bCs/>
      <w:smallCaps/>
      <w:color w:val="2F5496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07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Иваницкая</dc:creator>
  <cp:keywords/>
  <dc:description/>
  <cp:lastModifiedBy>Ирина Иваницкая</cp:lastModifiedBy>
  <cp:revision>6</cp:revision>
  <cp:lastPrinted>2026-04-16T13:23:00Z</cp:lastPrinted>
  <dcterms:created xsi:type="dcterms:W3CDTF">2026-04-10T09:36:00Z</dcterms:created>
  <dcterms:modified xsi:type="dcterms:W3CDTF">2026-04-16T13:24:00Z</dcterms:modified>
</cp:coreProperties>
</file>